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扶贫开发办公室</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（一）贯彻落实党和国家各项扶贫开发方针政策和法律法规，组织拟订全省扶贫开发工作政策和地方性法规、政府规章草案。</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（二）组织落实国家扶贫开发规划，拟订全省扶贫开发中长期规划和年度计划并组织实施。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（三）负责全省贫困识别和动态调整工作，负责全省贫困状况的统计和监测工作，组织实施贫困退出工作。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（四）负责扶贫开发工作成效考核评估工作。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（五）组织实施扶贫开发政策、责任、工作落实情况督促检查。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（六）配合有关部门拟订财政专项扶贫资金管理办法，开展绩效评价。提出财政专项扶贫资金分配意见建议；指导监督财政专项扶贫资金使用管理；组织、协调、指导全省革命老区脱贫攻坚工作。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（七）协调社会各界的扶贫开发工作。负责协调联系中央、国家机关和有关单位定点帮扶贫困县工作；负责京津冀扶贫协作和省内经济强县对口帮扶贫困县工作。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（八）负责协调深度贫困地区扶贫开发工作。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（九）负责扶贫开发重大事项调查研究。</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（十）负责扶贫开发宣传报道和信息发布工作。</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（十一）承担省扶贫开发和脱贫工作领导小组办公室职责。</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（十二）完成省委、省政府交办的其他任务。</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2"/>
        <w:tblW w:w="978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359"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3013"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河北省扶贫开发办公室</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正厅局级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河北省扶贫开发协会秘书处</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河北省扶贫开发信息中心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276"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013"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4513.02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，其他来源收入（单位资金）0万元，上年结转243.20万元。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扶贫开发办公室</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2423.03</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1961.43万元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461.60万元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2333.19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cs="Times New Roman"/>
          <w:sz w:val="32"/>
          <w:szCs w:val="32"/>
        </w:rPr>
        <w:t>第三方评估审计及举办专题展等工作经费、扶贫综合事务管理工作经费、扶贫项目监管工作经费、督查巡查工作经费、中国扶贫杂志订阅年费</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4756.22</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减少772.57</w:t>
      </w:r>
      <w:r>
        <w:rPr>
          <w:rFonts w:ascii="Times New Roman" w:hAnsi="Times New Roman" w:eastAsia="方正仿宋_GBK" w:cs="Times New Roman"/>
          <w:sz w:val="32"/>
          <w:szCs w:val="32"/>
        </w:rPr>
        <w:t>万元，其中</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基本支出</w:t>
      </w:r>
      <w:r>
        <w:rPr>
          <w:rFonts w:hint="eastAsia" w:ascii="Times New Roman" w:hAnsi="Times New Roman" w:eastAsia="方正仿宋_GBK" w:cs="Times New Roman"/>
          <w:sz w:val="32"/>
          <w:szCs w:val="32"/>
        </w:rPr>
        <w:t>增加234.52</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w:t>
      </w:r>
      <w:r>
        <w:rPr>
          <w:rFonts w:hint="eastAsia" w:ascii="Times New Roman" w:hAnsi="Times New Roman" w:eastAsia="方正仿宋_GBK" w:cs="Times New Roman"/>
          <w:sz w:val="32"/>
          <w:szCs w:val="32"/>
        </w:rPr>
        <w:t>和日常公用经费支出</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减少1007.09</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减少了建档立卡评估经费等。</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2021年，我办机关运行经费共计安排461.6万元，主要用于日常维修、办公用房水电费、办公用房取暖费、办公用房物业管理费等日常运行支出。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办</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36.48</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24.48</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24.48</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相比持平，无增减变化</w:t>
      </w:r>
      <w:r>
        <w:rPr>
          <w:rFonts w:ascii="Times New Roman" w:hAnsi="Times New Roman" w:eastAsia="方正仿宋_GBK"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0"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深入学习习近平总书记关于扶贫工作的重要论述，认真贯彻党中央、国务院决策部署，全面落实党的十九届五中全会</w:t>
      </w:r>
      <w:r>
        <w:rPr>
          <w:rFonts w:hint="eastAsia" w:ascii="Times New Roman" w:hAnsi="Times New Roman" w:eastAsia="方正仿宋_GBK" w:cs="Times New Roman"/>
          <w:sz w:val="32"/>
          <w:szCs w:val="32"/>
        </w:rPr>
        <w:t>、中央农村工作会议、全国巩固拓展脱贫攻坚成果同乡村振兴有效衔接工作会议、</w:t>
      </w:r>
      <w:r>
        <w:rPr>
          <w:rFonts w:ascii="Times New Roman" w:hAnsi="Times New Roman" w:eastAsia="方正仿宋_GBK" w:cs="Times New Roman"/>
          <w:sz w:val="32"/>
          <w:szCs w:val="32"/>
        </w:rPr>
        <w:t>省委九届十一次全会精神，</w:t>
      </w:r>
      <w:r>
        <w:rPr>
          <w:rFonts w:hint="eastAsia" w:ascii="Times New Roman" w:hAnsi="Times New Roman" w:eastAsia="方正仿宋_GBK" w:cs="Times New Roman"/>
          <w:sz w:val="32"/>
          <w:szCs w:val="32"/>
        </w:rPr>
        <w:t>将巩固拓展脱贫攻坚成果摆在头等重要位置，严格落实</w:t>
      </w:r>
      <w:r>
        <w:rPr>
          <w:rFonts w:ascii="Times New Roman" w:hAnsi="Times New Roman" w:eastAsia="方正仿宋_GBK" w:cs="Times New Roman"/>
          <w:sz w:val="32"/>
          <w:szCs w:val="32"/>
        </w:rPr>
        <w:t>“四个不摘”</w:t>
      </w:r>
      <w:r>
        <w:rPr>
          <w:rFonts w:hint="eastAsia" w:ascii="Times New Roman" w:hAnsi="Times New Roman" w:eastAsia="方正仿宋_GBK" w:cs="Times New Roman"/>
          <w:sz w:val="32"/>
          <w:szCs w:val="32"/>
        </w:rPr>
        <w:t>要求</w:t>
      </w:r>
      <w:r>
        <w:rPr>
          <w:rFonts w:ascii="Times New Roman" w:hAnsi="Times New Roman" w:eastAsia="方正仿宋_GBK" w:cs="Times New Roman"/>
          <w:sz w:val="32"/>
          <w:szCs w:val="32"/>
        </w:rPr>
        <w:t>，过渡期内保持财政投入、工作力量、帮扶政策总体稳定，完善防止返贫监测和帮扶机制，接续推进脱贫地区发展，</w:t>
      </w:r>
      <w:r>
        <w:rPr>
          <w:rFonts w:hint="eastAsia" w:ascii="Times New Roman" w:hAnsi="Times New Roman" w:eastAsia="方正仿宋_GBK" w:cs="Times New Roman"/>
          <w:sz w:val="32"/>
          <w:szCs w:val="32"/>
        </w:rPr>
        <w:t>全面推进</w:t>
      </w:r>
      <w:r>
        <w:rPr>
          <w:rFonts w:ascii="Times New Roman" w:hAnsi="Times New Roman" w:eastAsia="方正仿宋_GBK" w:cs="Times New Roman"/>
          <w:sz w:val="32"/>
          <w:szCs w:val="32"/>
        </w:rPr>
        <w:t>乡村振兴。</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巩固拓展脱贫攻坚成果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研究建立推进衔接政策体系，严格落实“四个不摘”要求，过渡期内继续保持脱贫攻坚主要政策稳定，抓好防止返贫动态监测和帮扶机制落实，抓好脱贫人口稳定就业，发展壮大脱贫地区乡村特色产业，强化易地搬迁后续扶持，做好乡村振兴有效衔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w:t>
      </w:r>
      <w:r>
        <w:rPr>
          <w:rFonts w:hint="eastAsia" w:ascii="Times New Roman" w:hAnsi="Times New Roman" w:eastAsia="方正仿宋_GBK" w:cs="Times New Roman"/>
          <w:sz w:val="32"/>
          <w:szCs w:val="32"/>
        </w:rPr>
        <w:t>确保</w:t>
      </w:r>
      <w:r>
        <w:rPr>
          <w:rFonts w:ascii="Times New Roman" w:hAnsi="Times New Roman" w:eastAsia="方正仿宋_GBK" w:cs="Times New Roman"/>
          <w:sz w:val="32"/>
          <w:szCs w:val="32"/>
        </w:rPr>
        <w:t>全省不出现</w:t>
      </w:r>
      <w:r>
        <w:rPr>
          <w:rFonts w:hint="eastAsia" w:ascii="Times New Roman" w:hAnsi="Times New Roman" w:eastAsia="方正仿宋_GBK" w:cs="Times New Roman"/>
          <w:sz w:val="32"/>
          <w:szCs w:val="32"/>
        </w:rPr>
        <w:t>规模性</w:t>
      </w:r>
      <w:r>
        <w:rPr>
          <w:rFonts w:ascii="Times New Roman" w:hAnsi="Times New Roman" w:eastAsia="方正仿宋_GBK" w:cs="Times New Roman"/>
          <w:sz w:val="32"/>
          <w:szCs w:val="32"/>
        </w:rPr>
        <w:t>返贫，</w:t>
      </w:r>
      <w:r>
        <w:rPr>
          <w:rFonts w:hint="eastAsia" w:ascii="Times New Roman" w:hAnsi="Times New Roman" w:eastAsia="方正仿宋_GBK" w:cs="Times New Roman"/>
          <w:sz w:val="32"/>
          <w:szCs w:val="32"/>
        </w:rPr>
        <w:t>脱贫</w:t>
      </w:r>
      <w:r>
        <w:rPr>
          <w:rFonts w:ascii="Times New Roman" w:hAnsi="Times New Roman" w:eastAsia="方正仿宋_GBK" w:cs="Times New Roman"/>
          <w:sz w:val="32"/>
          <w:szCs w:val="32"/>
        </w:rPr>
        <w:t>群众收入稳步提高，</w:t>
      </w:r>
      <w:r>
        <w:rPr>
          <w:rFonts w:hint="eastAsia" w:ascii="Times New Roman" w:hAnsi="Times New Roman" w:eastAsia="方正仿宋_GBK" w:cs="Times New Roman"/>
          <w:sz w:val="32"/>
          <w:szCs w:val="32"/>
        </w:rPr>
        <w:t>脱贫地区</w:t>
      </w:r>
      <w:r>
        <w:rPr>
          <w:rFonts w:ascii="Times New Roman" w:hAnsi="Times New Roman" w:eastAsia="方正仿宋_GBK" w:cs="Times New Roman"/>
          <w:sz w:val="32"/>
          <w:szCs w:val="32"/>
        </w:rPr>
        <w:t>生产生活条件进一步改善。</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人才技能培训进一步提高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绩效目标：进一步提高致富带头人整体素质，增强脱贫地区群众致富和就业本领。</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绩效指标：致富带头人培训任务完成率达到95%以上。     </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政务管理水平进一步提高</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绩效目标：确保各项业务工作谋划到位、顺利开展。保障机关、直属事业单位正常高效运转。</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绩效指标：综合业务管理工作、综合事务管理工作均完成率达到95%以上。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过渡期内进一步提高考核评估水平</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绩效目标：把巩固拓展脱贫攻坚成果纳入市县党政领班子和领导干部推进乡村振兴战略实绩考核范围，对过渡期内巩固拓展脱贫攻坚成果进行考核评估，确保考核评估结果客观、真实、公正。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绩效指标：考核评估结果真实率100%。</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加强组织领导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将事前评估、目标管理、运行监控、绩效评价、结果应用等各项改革措施，有效融入预算管理的全过程环节，建立健全财政专项扶贫资金预算绩效管理的路径和制度体系。围绕年度总体绩效目标和分类绩效目标，明确责任主体、实施进度要求，确保巩固拓展脱贫攻坚成果同乡村振兴有效衔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狠抓任务落实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谁花钱、谁负责，谁牵总、谁主责”的原则，明确业务单位（处室）管理职责。充分调动各项目主管处的积极性和主动性，由业务处负责科学制定分管项目和内容的中期、终期绩效目标和评价指标，动态收集评估数据信息，开展预算绩效中期评估、终期评价，落实整改措施等。按照领导小组指示，开展分管项目及内容的管理具体工作，实现定项目就要抓绩效、分资金就要管绩效，确保财务与业务工作紧密衔接。</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强化预算执行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化财政预算执行的刚性约束，及时启动项目和支付资金，加快履行政府采购程序，确保按照时间节点完成支出任务。进一步加快转移支付资金下达进度，督促有关单位加快执行进度。规范财政专项扶贫资金使用和管理，强化内部控制制度建设，更好地发挥财政专项扶贫资金的使用效益。</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健全评价机制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立专门的评价工作小组，制定科学评价办法，对总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凝聚全社会扶贫合力</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进一步提升中央单位定点扶贫、省内对口帮扶水平，鼓励各类企业、社会组织、志愿者参与扶贫。加强扶贫扶志工作，改进帮扶方式，激发脱贫地区群众内生动力。</w:t>
      </w:r>
    </w:p>
    <w:p>
      <w:pPr>
        <w:ind w:firstLine="640" w:firstLineChars="200"/>
        <w:rPr>
          <w:rFonts w:ascii="Times New Roman" w:hAnsi="Times New Roman" w:eastAsia="方正仿宋_GBK" w:cs="Times New Roman"/>
          <w:sz w:val="32"/>
          <w:szCs w:val="32"/>
        </w:rPr>
      </w:pPr>
    </w:p>
    <w:p>
      <w:pPr>
        <w:rPr>
          <w:rFonts w:ascii="Times New Roman" w:hAnsi="Times New Roman" w:eastAsia="方正仿宋_GBK" w:cs="Times New Roman"/>
          <w:b/>
          <w:sz w:val="32"/>
          <w:szCs w:val="32"/>
        </w:rPr>
      </w:pP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第二部分  专项资金绩效目标：</w:t>
      </w:r>
      <w:bookmarkStart w:id="1" w:name="_Toc60405629"/>
    </w:p>
    <w:p>
      <w:pPr>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1、财政扶贫专项资金绩效目标表</w:t>
      </w:r>
      <w:bookmarkEnd w:id="1"/>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TC 1、财政扶贫专项资金绩效目标表 \f B \l 1 </w:instrText>
      </w:r>
      <w:r>
        <w:rPr>
          <w:rFonts w:ascii="Times New Roman" w:hAnsi="Times New Roman" w:eastAsia="方正仿宋_GBK" w:cs="Times New Roman"/>
          <w:sz w:val="32"/>
          <w:szCs w:val="32"/>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1.巩固脱贫攻坚成果，确保不出现规模性返贫。</w:t>
            </w:r>
          </w:p>
          <w:p>
            <w:pPr>
              <w:spacing w:line="300" w:lineRule="exact"/>
              <w:jc w:val="left"/>
              <w:rPr>
                <w:rFonts w:ascii="方正书宋_GBK" w:eastAsia="方正书宋_GBK"/>
              </w:rPr>
            </w:pPr>
            <w:r>
              <w:rPr>
                <w:rFonts w:hint="eastAsia" w:ascii="方正书宋_GBK" w:eastAsia="方正书宋_GBK"/>
              </w:rPr>
              <w:t>2.进一步提升脱贫地区生产生活水平。</w:t>
            </w:r>
          </w:p>
          <w:p>
            <w:pPr>
              <w:spacing w:line="300" w:lineRule="exact"/>
              <w:jc w:val="left"/>
              <w:rPr>
                <w:rFonts w:ascii="方正书宋_GBK" w:eastAsia="方正书宋_GBK"/>
              </w:rPr>
            </w:pPr>
            <w:r>
              <w:rPr>
                <w:rFonts w:hint="eastAsia" w:ascii="方正书宋_GBK" w:eastAsia="方正书宋_GBK"/>
              </w:rPr>
              <w:t>3.驻村工作队综合经费保障省派驻村干部驻村期间正常开展帮扶工作。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脱贫人口巩固人数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巩固已脱贫人口的脱贫质量。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≤228万人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8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工作队个数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经费用于保障622个驻村工作队。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622个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省委办公厅 省政府办公厅《河北省扶贫脱贫驻村干部管理办法》（冀办字〔2018〕50号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边缘易致贫人口巩固人数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巩固边缘易致贫人口的生活质量。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≥5.2万人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返贫率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不出现规模性返贫。</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不出现规模性返贫</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按要求时间拨付资金。</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下拨资金数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到县专项资金不超预算。</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708572万元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脱贫地区生产生活条件改善程度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脱贫地区生产生活条件改善程度。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《河北省财政专项资金管理办法》《河北省扶贫项目资金绩效管理实施办法》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脱贫群众满意度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脱贫群众满意度。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调查问卷或日常走访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61"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驻村工作队满意度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工作队对经费保障满意度。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r>
              <w:rPr>
                <w:rFonts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调查问卷或社会反馈</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w:instrText>
      </w:r>
      <w:bookmarkStart w:id="2" w:name="_Toc28800633"/>
      <w:r>
        <w:rPr>
          <w:rFonts w:hint="eastAsia" w:ascii="Times New Roman" w:hAnsi="Times New Roman" w:eastAsia="方正仿宋_GBK" w:cs="Times New Roman"/>
          <w:sz w:val="32"/>
          <w:szCs w:val="32"/>
        </w:rPr>
        <w:instrText xml:space="preserve">3、农村综合改革专项资金绩效目标表</w:instrText>
      </w:r>
      <w:bookmarkEnd w:id="2"/>
      <w:r>
        <w:rPr>
          <w:rFonts w:hint="eastAsia" w:ascii="Times New Roman" w:hAnsi="Times New Roman" w:eastAsia="方正仿宋_GBK" w:cs="Times New Roman"/>
          <w:sz w:val="32"/>
          <w:szCs w:val="32"/>
        </w:rPr>
        <w:instrText xml:space="preserve"> \f B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p>
      <w:pPr>
        <w:spacing w:line="14" w:lineRule="exact"/>
        <w:ind w:firstLine="420" w:firstLineChars="200"/>
        <w:jc w:val="center"/>
        <w:rPr>
          <w:rFonts w:ascii="Times New Roman" w:hAnsi="宋体"/>
        </w:rPr>
      </w:pPr>
      <w:r>
        <w:rPr>
          <w:rFonts w:ascii="方正书宋_GBK" w:eastAsia="方正书宋_GBK"/>
        </w:rPr>
        <w:t xml:space="preserve"> </w:t>
      </w:r>
    </w:p>
    <w:p>
      <w:pPr>
        <w:tabs>
          <w:tab w:val="left" w:pos="676"/>
        </w:tabs>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第三部分</w:t>
      </w:r>
      <w:r>
        <w:rPr>
          <w:rFonts w:hint="eastAsia" w:ascii="Times New Roman" w:hAnsi="Times New Roman" w:eastAsia="方正仿宋_GBK" w:cs="Times New Roman"/>
          <w:b/>
          <w:sz w:val="32"/>
          <w:szCs w:val="32"/>
        </w:rPr>
        <w:tab/>
      </w:r>
      <w:r>
        <w:rPr>
          <w:rFonts w:hint="eastAsia" w:ascii="Times New Roman" w:hAnsi="Times New Roman" w:eastAsia="方正仿宋_GBK" w:cs="Times New Roman"/>
          <w:b/>
          <w:sz w:val="32"/>
          <w:szCs w:val="32"/>
        </w:rPr>
        <w:t xml:space="preserve"> 预算项目绩效目标：</w:t>
      </w:r>
    </w:p>
    <w:p>
      <w:pPr>
        <w:ind w:firstLine="640" w:firstLineChars="200"/>
        <w:rPr>
          <w:rFonts w:ascii="Times New Roman" w:hAnsi="Times New Roman" w:eastAsia="方正仿宋_GBK" w:cs="Times New Roman"/>
          <w:sz w:val="32"/>
          <w:szCs w:val="32"/>
        </w:rPr>
      </w:pPr>
      <w:bookmarkStart w:id="3" w:name="_Toc60405634"/>
      <w:r>
        <w:rPr>
          <w:rFonts w:hint="eastAsia" w:ascii="Times New Roman" w:hAnsi="Times New Roman" w:eastAsia="方正仿宋_GBK" w:cs="Times New Roman"/>
          <w:sz w:val="32"/>
          <w:szCs w:val="32"/>
        </w:rPr>
        <w:t>1、第三方评估审计及举办专题展等工作经费绩效目标表</w:t>
      </w:r>
      <w:bookmarkEnd w:id="3"/>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5、第三方评估审计及举办专题展等工作经费绩效目标表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根据省考核工作方案开展年度考核评估工作，全面客观评价工作成效，综合评定考核结果。对资金绩效开展第三方评估。对产业、就业、小额信贷、彩票公益金等项目开展第三方评估审计。对河北省扶贫开发信息平台进行升级维护。举办全省脱贫攻坚专题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报告数量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形成第三方评估报告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≥50个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报告合格率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报告符合质量要求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第三方评估工作按时完成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相关协议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考核评估费用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对1.66万户、36个领导小组成员单位和12个垂直管理部门成效考核第三方评估费用，总控费用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≤692万元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习近平总书记在决战决胜脱贫攻坚座谈会上的讲话（2020年3月6日）要求；《河北省脱贫攻坚工作考核问责办法》（冀扶贫脱贫〔2018〕4号）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资金绩效费用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对相关县2021年资金绩效进行第三方评估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≤49.5万元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国务院办公厅《关于转发财政部、国务院扶贫办、国家发展改革委扶贫项目资金绩效管理办法的通知》（国办发〔2018〕35号）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信息平台升级维护和服务费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对河北省扶贫开发信息平台进行升级维护</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≤55.5万元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省委省政府《关于坚决打赢脱贫攻坚战的决定》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产业、就业、小额信贷、彩票公益</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产业扶贫第三方审计经费预算31万元，就业扶贫第三方审计经费预算31万元，扶贫小额信贷第三方审计经费预算31万元，中央专项彩票公益金支持贫困革命老区实施扶贫项目第三方审计经费预算20万元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≤113万元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习近平总书记在决战决胜脱贫攻坚座谈会上的讲话（2020年3月6日）要求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全省脱贫攻坚专题展费用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用于撰写展览脚本、文字材料梳理、图片精修排版、政策图解制作、视频剪辑制作、专题设计及展板制作等费用。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≤90万元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中央宣传部《2020年脱贫攻坚宣传报道方案》（中宣办发[2020]2号）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提升工作质量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通过第三方评估工作，客观评价工作成效，指导地方问题整改，提升工作质量。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使用情况满意度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评估报告使用部门满意度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《河北省脱贫攻坚工作考核问责办法》（冀扶贫脱贫〔2018〕4号）《河北省扶贫开发和脱贫工作领导小组工作规则》</w:t>
            </w:r>
          </w:p>
        </w:tc>
      </w:tr>
    </w:tbl>
    <w:p>
      <w:pPr>
        <w:ind w:firstLine="1121" w:firstLineChars="400"/>
        <w:jc w:val="left"/>
        <w:outlineLvl w:val="3"/>
        <w:rPr>
          <w:rFonts w:ascii="方正仿宋_GBK" w:eastAsia="方正仿宋_GBK"/>
          <w:b/>
          <w:sz w:val="28"/>
        </w:rPr>
      </w:pPr>
      <w:bookmarkStart w:id="4" w:name="_Toc60405631"/>
    </w:p>
    <w:p>
      <w:pPr>
        <w:jc w:val="left"/>
        <w:outlineLvl w:val="3"/>
        <w:rPr>
          <w:rFonts w:ascii="方正仿宋_GBK" w:eastAsia="方正仿宋_GBK"/>
          <w:b/>
          <w:sz w:val="28"/>
        </w:rPr>
      </w:pP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2、中国扶贫杂志订阅年费绩效目标表</w:t>
      </w:r>
      <w:bookmarkEnd w:id="4"/>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2、中国扶贫杂志订阅年费绩效目标表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vAlign w:val="center"/>
          </w:tcPr>
          <w:p>
            <w:pPr>
              <w:spacing w:line="300" w:lineRule="exact"/>
              <w:jc w:val="left"/>
              <w:rPr>
                <w:rFonts w:ascii="方正书宋_GBK" w:eastAsia="方正书宋_GBK"/>
              </w:rPr>
            </w:pPr>
            <w:r>
              <w:rPr>
                <w:rFonts w:hint="eastAsia" w:ascii="方正书宋_GBK" w:eastAsia="方正书宋_GBK"/>
              </w:rPr>
              <w:t>1.为省市县有关领导和相关部门订阅杂志，提高政策宣传力度。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订阅杂志数量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订阅中国扶贫杂志数量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3750份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杂志覆盖有关领导、部门和工作队</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按时邮寄杂志</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杂志成本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每份杂志年成本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288元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扶贫政策宣传力度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提高扶贫政策宣传力度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订阅协议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杂志使用满意度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杂志使用满意度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调查问卷或社会反馈</w:t>
            </w:r>
          </w:p>
        </w:tc>
      </w:tr>
    </w:tbl>
    <w:p>
      <w:pPr>
        <w:rPr>
          <w:rFonts w:ascii="Times New Roman" w:hAnsi="Times New Roman" w:eastAsia="方正仿宋_GBK" w:cs="Times New Roman"/>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方正小标宋_GBK" w:eastAsia="方正小标宋_GBK"/>
          <w:sz w:val="32"/>
        </w:rPr>
      </w:pPr>
      <w:bookmarkStart w:id="5"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办</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1433.25</w:t>
      </w:r>
      <w:r>
        <w:rPr>
          <w:rFonts w:ascii="Times New Roman" w:hAnsi="Times New Roman" w:eastAsia="方正仿宋_GBK" w:cs="Times New Roman"/>
          <w:sz w:val="32"/>
          <w:szCs w:val="24"/>
        </w:rPr>
        <w:t>万元。具体内容见下表。</w:t>
      </w:r>
      <w:bookmarkEnd w:id="5"/>
      <w:bookmarkStart w:id="6" w:name="_Toc64386748"/>
    </w:p>
    <w:p>
      <w:pPr>
        <w:ind w:firstLine="640" w:firstLineChars="200"/>
        <w:jc w:val="center"/>
        <w:outlineLvl w:val="1"/>
        <w:rPr>
          <w:rFonts w:ascii="Times New Roman" w:hAnsi="宋体"/>
          <w:sz w:val="32"/>
        </w:rPr>
      </w:pPr>
      <w:r>
        <w:rPr>
          <w:rFonts w:hint="eastAsia" w:ascii="方正小标宋_GBK" w:eastAsia="方正小标宋_GBK"/>
          <w:sz w:val="32"/>
        </w:rPr>
        <w:t>部门政府采购预算</w:t>
      </w:r>
      <w:bookmarkEnd w:id="6"/>
    </w:p>
    <w:tbl>
      <w:tblPr>
        <w:tblStyle w:val="12"/>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475  河北省扶贫开发办公室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1433.25</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1433.25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河北省扶贫开发办公室本级小计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w:t>
            </w:r>
            <w:r>
              <w:rPr>
                <w:rFonts w:hint="eastAsia" w:ascii="方正书宋_GBK" w:eastAsia="方正书宋_GBK"/>
                <w:b/>
              </w:rPr>
              <w:t>06</w:t>
            </w:r>
            <w:r>
              <w:rPr>
                <w:rFonts w:ascii="方正书宋_GBK" w:eastAsia="方正书宋_GBK"/>
                <w:b/>
              </w:rPr>
              <w:t>.30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14</w:t>
            </w:r>
            <w:r>
              <w:rPr>
                <w:rFonts w:hint="eastAsia" w:ascii="方正书宋_GBK" w:eastAsia="方正书宋_GBK"/>
                <w:b/>
              </w:rPr>
              <w:t>06</w:t>
            </w:r>
            <w:r>
              <w:rPr>
                <w:rFonts w:ascii="方正书宋_GBK" w:eastAsia="方正书宋_GBK"/>
                <w:b/>
              </w:rPr>
              <w:t>.30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434.83</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扶贫项目监管工作经费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扶贫综合事务管理工作经费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其他信息技术咨询服务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扶贫综合事务管理工作经费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巩固拓展脱贫攻坚成果考核经费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京津冀扶贫协作办公室集中办公经费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双提升办公室集中办公经费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双提升办公室集中办公经费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第三方评估审计及举办专题展等工作经费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其他信息技术咨询服务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中国扶贫杂志订阅年费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其他图书档案装具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河北省扶贫开发协会秘书处小计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11.24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11.24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河北省扶贫开发信息中心小计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扶贫开发项目管理费（信息中心）</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河北省扶贫开发办公室（含所属单位）上年末固定资产金额为617.4756万元（详见下表），本年度各单位（处室）拟购置固定资产总额为2.25万元，主要为计算机设备、办公家具等，已列入政府采购预算，详见政府采购预算表。</w:t>
      </w: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56" w:hRule="atLeast"/>
        </w:trPr>
        <w:tc>
          <w:tcPr>
            <w:tcW w:w="13482" w:type="dxa"/>
            <w:gridSpan w:val="3"/>
            <w:tcBorders>
              <w:top w:val="nil"/>
              <w:left w:val="nil"/>
              <w:bottom w:val="nil"/>
              <w:right w:val="nil"/>
            </w:tcBorders>
            <w:shd w:val="clear" w:color="auto" w:fill="auto"/>
            <w:vAlign w:val="center"/>
          </w:tcPr>
          <w:p>
            <w:pPr>
              <w:widowControl/>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编制部门：河北省扶贫开发办公室</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bookmarkStart w:id="7" w:name="_GoBack"/>
            <w:bookmarkEnd w:id="7"/>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617.4756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144.99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sz w:val="22"/>
              </w:rPr>
            </w:pPr>
            <w:r>
              <w:rPr>
                <w:rFonts w:hint="eastAsia" w:ascii="Times New Roman" w:hAnsi="Times New Roman" w:cs="Times New Roman"/>
                <w:sz w:val="22"/>
              </w:rPr>
              <w:t>472.4856</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6AA7"/>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1566F"/>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706DE"/>
    <w:rsid w:val="00472923"/>
    <w:rsid w:val="00485694"/>
    <w:rsid w:val="00485788"/>
    <w:rsid w:val="0049455E"/>
    <w:rsid w:val="00496109"/>
    <w:rsid w:val="004A2E55"/>
    <w:rsid w:val="004B0C3A"/>
    <w:rsid w:val="004D5788"/>
    <w:rsid w:val="004E3066"/>
    <w:rsid w:val="004E74CD"/>
    <w:rsid w:val="005069C1"/>
    <w:rsid w:val="00516E04"/>
    <w:rsid w:val="00565588"/>
    <w:rsid w:val="00572067"/>
    <w:rsid w:val="00573562"/>
    <w:rsid w:val="00577816"/>
    <w:rsid w:val="00590ECE"/>
    <w:rsid w:val="005915C2"/>
    <w:rsid w:val="00592ADD"/>
    <w:rsid w:val="005A2F44"/>
    <w:rsid w:val="00602878"/>
    <w:rsid w:val="00614A29"/>
    <w:rsid w:val="0061668A"/>
    <w:rsid w:val="00643AA7"/>
    <w:rsid w:val="00653C6B"/>
    <w:rsid w:val="00663446"/>
    <w:rsid w:val="0066346C"/>
    <w:rsid w:val="00673D76"/>
    <w:rsid w:val="00674CD7"/>
    <w:rsid w:val="006854F0"/>
    <w:rsid w:val="0069624B"/>
    <w:rsid w:val="006B1C4A"/>
    <w:rsid w:val="006B610D"/>
    <w:rsid w:val="006D2233"/>
    <w:rsid w:val="006E49F5"/>
    <w:rsid w:val="006E7E97"/>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B0D"/>
    <w:rsid w:val="008745B2"/>
    <w:rsid w:val="00881692"/>
    <w:rsid w:val="00883D1A"/>
    <w:rsid w:val="008A25C2"/>
    <w:rsid w:val="008A6576"/>
    <w:rsid w:val="008B3CC5"/>
    <w:rsid w:val="008B52CD"/>
    <w:rsid w:val="008E4261"/>
    <w:rsid w:val="008F4662"/>
    <w:rsid w:val="00905D08"/>
    <w:rsid w:val="00912EF2"/>
    <w:rsid w:val="00925753"/>
    <w:rsid w:val="009425F4"/>
    <w:rsid w:val="00966C5C"/>
    <w:rsid w:val="00973104"/>
    <w:rsid w:val="00995BF0"/>
    <w:rsid w:val="009A16D5"/>
    <w:rsid w:val="009A353D"/>
    <w:rsid w:val="009B0B77"/>
    <w:rsid w:val="009B511E"/>
    <w:rsid w:val="009C7241"/>
    <w:rsid w:val="00A02FED"/>
    <w:rsid w:val="00A44E3D"/>
    <w:rsid w:val="00A524BD"/>
    <w:rsid w:val="00A62942"/>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34E"/>
    <w:rsid w:val="00BD09F8"/>
    <w:rsid w:val="00BD4B2D"/>
    <w:rsid w:val="00BE0E8E"/>
    <w:rsid w:val="00C0360F"/>
    <w:rsid w:val="00C93F09"/>
    <w:rsid w:val="00CA7176"/>
    <w:rsid w:val="00CB3D48"/>
    <w:rsid w:val="00CB4665"/>
    <w:rsid w:val="00CC75B0"/>
    <w:rsid w:val="00CD2773"/>
    <w:rsid w:val="00CD31CC"/>
    <w:rsid w:val="00CE143B"/>
    <w:rsid w:val="00D0024A"/>
    <w:rsid w:val="00D1724D"/>
    <w:rsid w:val="00D27003"/>
    <w:rsid w:val="00DB4A9B"/>
    <w:rsid w:val="00DC09A8"/>
    <w:rsid w:val="00DE0873"/>
    <w:rsid w:val="00E167C7"/>
    <w:rsid w:val="00E2482E"/>
    <w:rsid w:val="00E273A5"/>
    <w:rsid w:val="00E41AAA"/>
    <w:rsid w:val="00E61DF2"/>
    <w:rsid w:val="00E73D47"/>
    <w:rsid w:val="00E82C63"/>
    <w:rsid w:val="00EC47F6"/>
    <w:rsid w:val="00EE65B8"/>
    <w:rsid w:val="00F149E2"/>
    <w:rsid w:val="00F159B6"/>
    <w:rsid w:val="00F66032"/>
    <w:rsid w:val="00F728BF"/>
    <w:rsid w:val="00F87C1E"/>
    <w:rsid w:val="00F958C2"/>
    <w:rsid w:val="00FA3D33"/>
    <w:rsid w:val="00FD351A"/>
    <w:rsid w:val="00FE75D7"/>
    <w:rsid w:val="0A861354"/>
    <w:rsid w:val="168372DB"/>
    <w:rsid w:val="1CD85FEA"/>
    <w:rsid w:val="1DEF2A6B"/>
    <w:rsid w:val="23CD6BA7"/>
    <w:rsid w:val="2F565731"/>
    <w:rsid w:val="312B2A9E"/>
    <w:rsid w:val="3BB2525E"/>
    <w:rsid w:val="3BEB0B1D"/>
    <w:rsid w:val="3C7F3244"/>
    <w:rsid w:val="3D595A44"/>
    <w:rsid w:val="4B3C12D9"/>
    <w:rsid w:val="556E3323"/>
    <w:rsid w:val="56C915E0"/>
    <w:rsid w:val="5D1404CE"/>
    <w:rsid w:val="66386846"/>
    <w:rsid w:val="68BD3726"/>
    <w:rsid w:val="69AA274E"/>
    <w:rsid w:val="75585B8B"/>
    <w:rsid w:val="7CEE1CAB"/>
    <w:rsid w:val="7DFE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page number"/>
    <w:semiHidden/>
    <w:unhideWhenUsed/>
    <w:qFormat/>
    <w:uiPriority w:val="99"/>
  </w:style>
  <w:style w:type="character" w:styleId="10">
    <w:name w:val="Hyperlink"/>
    <w:unhideWhenUsed/>
    <w:qFormat/>
    <w:uiPriority w:val="99"/>
    <w:rPr>
      <w:color w:val="0000FF"/>
      <w:u w:val="single"/>
    </w:rPr>
  </w:style>
  <w:style w:type="character" w:styleId="11">
    <w:name w:val="footnote reference"/>
    <w:semiHidden/>
    <w:unhideWhenUsed/>
    <w:qFormat/>
    <w:uiPriority w:val="99"/>
    <w:rPr>
      <w:vertAlign w:val="superscript"/>
    </w:rPr>
  </w:style>
  <w:style w:type="character" w:customStyle="1" w:styleId="13">
    <w:name w:val="页眉 Char"/>
    <w:basedOn w:val="8"/>
    <w:link w:val="4"/>
    <w:qFormat/>
    <w:uiPriority w:val="99"/>
    <w:rPr>
      <w:rFonts w:ascii="Times New Roman" w:hAnsi="Times New Roman" w:eastAsia="宋体" w:cs="Times New Roman"/>
      <w:sz w:val="18"/>
      <w:szCs w:val="18"/>
    </w:rPr>
  </w:style>
  <w:style w:type="character" w:customStyle="1" w:styleId="14">
    <w:name w:val="页脚 Char"/>
    <w:basedOn w:val="8"/>
    <w:link w:val="3"/>
    <w:qFormat/>
    <w:uiPriority w:val="99"/>
    <w:rPr>
      <w:rFonts w:ascii="Times New Roman" w:hAnsi="Times New Roman" w:eastAsia="宋体" w:cs="Times New Roman"/>
      <w:sz w:val="18"/>
      <w:szCs w:val="18"/>
    </w:rPr>
  </w:style>
  <w:style w:type="character" w:customStyle="1" w:styleId="15">
    <w:name w:val="批注框文本 Char"/>
    <w:basedOn w:val="8"/>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973C7E-998B-4BBA-B889-054D77C33F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1122</Words>
  <Characters>6398</Characters>
  <Lines>53</Lines>
  <Paragraphs>15</Paragraphs>
  <TotalTime>46</TotalTime>
  <ScaleCrop>false</ScaleCrop>
  <LinksUpToDate>false</LinksUpToDate>
  <CharactersWithSpaces>7505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程立峰</cp:lastModifiedBy>
  <cp:lastPrinted>2021-02-20T06:07:19Z</cp:lastPrinted>
  <dcterms:modified xsi:type="dcterms:W3CDTF">2021-02-20T06:10:55Z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