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扶贫开发办公室</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21</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中华人民共和国</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rPr>
        <w:t>扶贫开发办公室</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2"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（一）贯彻落实党和国家各项扶贫开发方针政策和法律法规，组织拟订全省扶贫开发工作政策和地方性法规、政府规章草案。</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（二）组织落实国家扶贫开发规划，拟订全省扶贫开发中长期规划和年度计划并组织实施。</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（三）负责全省贫困识别和动态调整工作，负责全省贫困状况的统计和监测工作，组织实施贫困退出工作。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（四）负责扶贫开发工作成效考核评估工作。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（五）组织实施扶贫开发政策、责任、工作落实情况督促检查。</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（六）配合有关部门拟订财政专项扶贫资金管理办法，开展绩效评价。提出财政专项扶贫资金分配意见建议；指导监督财政专项扶贫资金使用管理；组织、协调、指导全省革命老区脱贫攻坚工作。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（七）协调社会各界的扶贫开发工作。负责协调联系中央、国家机关和有关单位定点帮扶贫困县工作；负责京津冀扶贫协作和省内经济强县对口帮扶贫困县工作。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（八）负责协调深度贫困地区扶贫开发工作。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（九）负责扶贫开发重大事项调查研究。</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（十）负责扶贫开发宣传报道和信息发布工作。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（十一）承担省扶贫开发和脱贫工作领导小组办公室职责。</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（十二）完成省委、省政府交办的其他任务。</w:t>
      </w:r>
    </w:p>
    <w:p>
      <w:pPr>
        <w:autoSpaceDE w:val="0"/>
        <w:autoSpaceDN w:val="0"/>
        <w:adjustRightInd w:val="0"/>
        <w:ind w:firstLine="642"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276"/>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013"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continue"/>
            <w:vAlign w:val="center"/>
          </w:tcPr>
          <w:p>
            <w:pPr>
              <w:spacing w:line="300" w:lineRule="exact"/>
              <w:jc w:val="left"/>
              <w:outlineLvl w:val="0"/>
            </w:pPr>
          </w:p>
        </w:tc>
        <w:tc>
          <w:tcPr>
            <w:tcW w:w="1134"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3013"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河北省扶贫开发办公室</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正厅局级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河北省扶贫开发协会秘书处</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河北省扶贫开发信息中心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bl>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rPr>
        <w:t>扶贫开发办公室</w:t>
      </w:r>
      <w:r>
        <w:rPr>
          <w:rFonts w:ascii="Times New Roman" w:hAnsi="Times New Roman" w:eastAsia="方正仿宋_GBK" w:cs="Times New Roman"/>
          <w:sz w:val="32"/>
          <w:szCs w:val="32"/>
        </w:rPr>
        <w:t>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4756.22</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4513.02</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，其他来源收入（单位资金）0万元，上年结转243.20万元。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扶贫开发办公室</w:t>
      </w:r>
      <w:r>
        <w:rPr>
          <w:rFonts w:ascii="Times New Roman" w:hAnsi="Times New Roman" w:eastAsia="方正仿宋_GBK" w:cs="Times New Roman"/>
          <w:sz w:val="32"/>
          <w:szCs w:val="32"/>
        </w:rPr>
        <w:t>年度部门预算中支出预算的总体情况。20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4756.22</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2423.03</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1961.43万元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461.60万元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2333.19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主要为</w:t>
      </w:r>
      <w:r>
        <w:rPr>
          <w:rFonts w:hint="eastAsia" w:ascii="Times New Roman" w:hAnsi="Times New Roman" w:eastAsia="方正仿宋_GBK" w:cs="Times New Roman"/>
          <w:sz w:val="32"/>
          <w:szCs w:val="32"/>
        </w:rPr>
        <w:t>第三方评估审计及举办专题展等工作经费、扶贫综合事务管理工作经费、扶贫项目监管工作经费、督查巡查工作经费、中国扶贫杂志订阅年费</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2021年预算收支安排</w:t>
      </w:r>
      <w:r>
        <w:rPr>
          <w:rFonts w:hint="eastAsia" w:ascii="Times New Roman" w:hAnsi="Times New Roman" w:eastAsia="方正仿宋_GBK" w:cs="Times New Roman"/>
          <w:sz w:val="32"/>
          <w:szCs w:val="32"/>
        </w:rPr>
        <w:t>4756.22</w:t>
      </w:r>
      <w:r>
        <w:rPr>
          <w:rFonts w:ascii="Times New Roman" w:hAnsi="Times New Roman" w:eastAsia="方正仿宋_GBK" w:cs="Times New Roman"/>
          <w:sz w:val="32"/>
          <w:szCs w:val="32"/>
        </w:rPr>
        <w:t>万元，较2020年预算</w:t>
      </w:r>
      <w:r>
        <w:rPr>
          <w:rFonts w:hint="eastAsia" w:ascii="Times New Roman" w:hAnsi="Times New Roman" w:eastAsia="方正仿宋_GBK" w:cs="Times New Roman"/>
          <w:sz w:val="32"/>
          <w:szCs w:val="32"/>
        </w:rPr>
        <w:t>减少772.57</w:t>
      </w:r>
      <w:r>
        <w:rPr>
          <w:rFonts w:ascii="Times New Roman" w:hAnsi="Times New Roman" w:eastAsia="方正仿宋_GBK" w:cs="Times New Roman"/>
          <w:sz w:val="32"/>
          <w:szCs w:val="32"/>
        </w:rPr>
        <w:t>万元，其中</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基本支出</w:t>
      </w:r>
      <w:r>
        <w:rPr>
          <w:rFonts w:hint="eastAsia" w:ascii="Times New Roman" w:hAnsi="Times New Roman" w:eastAsia="方正仿宋_GBK" w:cs="Times New Roman"/>
          <w:sz w:val="32"/>
          <w:szCs w:val="32"/>
        </w:rPr>
        <w:t>增加234.52</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w:t>
      </w:r>
      <w:r>
        <w:rPr>
          <w:rFonts w:ascii="Times New Roman" w:hAnsi="Times New Roman" w:eastAsia="方正仿宋_GBK" w:cs="Times New Roman"/>
          <w:sz w:val="32"/>
          <w:szCs w:val="32"/>
        </w:rPr>
        <w:t>人员经费支出</w:t>
      </w:r>
      <w:r>
        <w:rPr>
          <w:rFonts w:hint="eastAsia" w:ascii="Times New Roman" w:hAnsi="Times New Roman" w:eastAsia="方正仿宋_GBK" w:cs="Times New Roman"/>
          <w:sz w:val="32"/>
          <w:szCs w:val="32"/>
        </w:rPr>
        <w:t>和日常公用经费支出</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减少1007.09</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减少了建档立卡评估经费等。</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2021年，我办机关运行经费共计安排461.6万元，主要用于日常维修、办公用房水电费、办公用房取暖费、办公用房物业管理费等日常运行支出。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w:t>
      </w:r>
      <w:r>
        <w:rPr>
          <w:rFonts w:hint="eastAsia" w:ascii="Times New Roman" w:hAnsi="Times New Roman" w:eastAsia="方正仿宋_GBK" w:cs="Times New Roman"/>
          <w:sz w:val="32"/>
          <w:szCs w:val="32"/>
        </w:rPr>
        <w:t>办</w:t>
      </w:r>
      <w:r>
        <w:rPr>
          <w:rFonts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rPr>
        <w:t>36.48</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24.48</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24.48</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万元。与2020年</w:t>
      </w:r>
      <w:r>
        <w:rPr>
          <w:rFonts w:hint="eastAsia" w:ascii="Times New Roman" w:hAnsi="Times New Roman" w:eastAsia="方正仿宋_GBK" w:cs="Times New Roman"/>
          <w:sz w:val="32"/>
          <w:szCs w:val="32"/>
        </w:rPr>
        <w:t>相比持平，无增减变化</w:t>
      </w:r>
      <w:r>
        <w:rPr>
          <w:rFonts w:ascii="Times New Roman" w:hAnsi="Times New Roman" w:eastAsia="方正仿宋_GBK"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五、预算绩效信息 </w:t>
      </w:r>
    </w:p>
    <w:p>
      <w:pPr>
        <w:ind w:firstLine="642" w:firstLineChars="200"/>
        <w:jc w:val="left"/>
        <w:rPr>
          <w:rFonts w:ascii="Times New Roman" w:hAnsi="Times New Roman" w:eastAsia="方正仿宋_GBK" w:cs="Times New Roman"/>
          <w:b/>
          <w:sz w:val="32"/>
          <w:szCs w:val="32"/>
        </w:rPr>
      </w:pPr>
      <w:bookmarkStart w:id="0" w:name="_Toc471398463"/>
      <w:r>
        <w:rPr>
          <w:rFonts w:hint="eastAsia" w:ascii="Times New Roman" w:hAnsi="Times New Roman" w:eastAsia="方正仿宋_GBK" w:cs="Times New Roman"/>
          <w:b/>
          <w:sz w:val="32"/>
          <w:szCs w:val="32"/>
        </w:rPr>
        <w:t>第一部分 部门整体</w:t>
      </w:r>
      <w:r>
        <w:rPr>
          <w:rFonts w:ascii="Times New Roman" w:hAnsi="Times New Roman" w:eastAsia="方正仿宋_GBK" w:cs="Times New Roman"/>
          <w:b/>
          <w:sz w:val="32"/>
          <w:szCs w:val="32"/>
        </w:rPr>
        <w:t>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（一）总体绩效目标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深入学习习近平总书记关于扶贫工作的重要论述，认真贯彻党中央、国务院决策部署，全面落实党的十九届五中全会</w:t>
      </w:r>
      <w:r>
        <w:rPr>
          <w:rFonts w:hint="eastAsia" w:ascii="Times New Roman" w:hAnsi="Times New Roman" w:eastAsia="方正仿宋_GBK" w:cs="Times New Roman"/>
          <w:sz w:val="32"/>
          <w:szCs w:val="32"/>
        </w:rPr>
        <w:t>、中央农村工作会议、全国巩固拓展脱贫攻坚成果同乡村振兴有效衔接工作会议、</w:t>
      </w:r>
      <w:r>
        <w:rPr>
          <w:rFonts w:ascii="Times New Roman" w:hAnsi="Times New Roman" w:eastAsia="方正仿宋_GBK" w:cs="Times New Roman"/>
          <w:sz w:val="32"/>
          <w:szCs w:val="32"/>
        </w:rPr>
        <w:t>省委九届十一次全会精神，</w:t>
      </w:r>
      <w:r>
        <w:rPr>
          <w:rFonts w:hint="eastAsia" w:ascii="Times New Roman" w:hAnsi="Times New Roman" w:eastAsia="方正仿宋_GBK" w:cs="Times New Roman"/>
          <w:sz w:val="32"/>
          <w:szCs w:val="32"/>
        </w:rPr>
        <w:t>将巩固拓展脱贫攻坚成果摆在头等重要位置，严格落实</w:t>
      </w:r>
      <w:r>
        <w:rPr>
          <w:rFonts w:ascii="Times New Roman" w:hAnsi="Times New Roman" w:eastAsia="方正仿宋_GBK" w:cs="Times New Roman"/>
          <w:sz w:val="32"/>
          <w:szCs w:val="32"/>
        </w:rPr>
        <w:t>“四个不摘”</w:t>
      </w:r>
      <w:r>
        <w:rPr>
          <w:rFonts w:hint="eastAsia" w:ascii="Times New Roman" w:hAnsi="Times New Roman" w:eastAsia="方正仿宋_GBK" w:cs="Times New Roman"/>
          <w:sz w:val="32"/>
          <w:szCs w:val="32"/>
        </w:rPr>
        <w:t>要求</w:t>
      </w:r>
      <w:r>
        <w:rPr>
          <w:rFonts w:ascii="Times New Roman" w:hAnsi="Times New Roman" w:eastAsia="方正仿宋_GBK" w:cs="Times New Roman"/>
          <w:sz w:val="32"/>
          <w:szCs w:val="32"/>
        </w:rPr>
        <w:t>，过渡期内保持财政投入、工作力量、帮扶政策总体稳定，完善防止返贫监测和帮扶机制，接续推进脱贫地区发展，</w:t>
      </w:r>
      <w:r>
        <w:rPr>
          <w:rFonts w:hint="eastAsia" w:ascii="Times New Roman" w:hAnsi="Times New Roman" w:eastAsia="方正仿宋_GBK" w:cs="Times New Roman"/>
          <w:sz w:val="32"/>
          <w:szCs w:val="32"/>
        </w:rPr>
        <w:t>全面推进</w:t>
      </w:r>
      <w:r>
        <w:rPr>
          <w:rFonts w:ascii="Times New Roman" w:hAnsi="Times New Roman" w:eastAsia="方正仿宋_GBK" w:cs="Times New Roman"/>
          <w:sz w:val="32"/>
          <w:szCs w:val="32"/>
        </w:rPr>
        <w:t>乡村振兴。</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（二）分项绩效目标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巩固拓展脱贫攻坚成果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研究建立推进衔接政策体系，严格落实“四个不摘”要求，过渡期内继续保持脱贫攻坚主要政策稳定，抓好防止返贫动态监测和帮扶机制落实，抓好脱贫人口稳定就业，发展壮大脱贫地区乡村特色产业，强化易地搬迁后续扶持，做好乡村振兴有效衔接。</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w:t>
      </w:r>
      <w:r>
        <w:rPr>
          <w:rFonts w:hint="eastAsia" w:ascii="Times New Roman" w:hAnsi="Times New Roman" w:eastAsia="方正仿宋_GBK" w:cs="Times New Roman"/>
          <w:sz w:val="32"/>
          <w:szCs w:val="32"/>
        </w:rPr>
        <w:t>确保</w:t>
      </w:r>
      <w:r>
        <w:rPr>
          <w:rFonts w:ascii="Times New Roman" w:hAnsi="Times New Roman" w:eastAsia="方正仿宋_GBK" w:cs="Times New Roman"/>
          <w:sz w:val="32"/>
          <w:szCs w:val="32"/>
        </w:rPr>
        <w:t>全省不出现</w:t>
      </w:r>
      <w:r>
        <w:rPr>
          <w:rFonts w:hint="eastAsia" w:ascii="Times New Roman" w:hAnsi="Times New Roman" w:eastAsia="方正仿宋_GBK" w:cs="Times New Roman"/>
          <w:sz w:val="32"/>
          <w:szCs w:val="32"/>
        </w:rPr>
        <w:t>规模性</w:t>
      </w:r>
      <w:r>
        <w:rPr>
          <w:rFonts w:ascii="Times New Roman" w:hAnsi="Times New Roman" w:eastAsia="方正仿宋_GBK" w:cs="Times New Roman"/>
          <w:sz w:val="32"/>
          <w:szCs w:val="32"/>
        </w:rPr>
        <w:t>返贫，</w:t>
      </w:r>
      <w:r>
        <w:rPr>
          <w:rFonts w:hint="eastAsia" w:ascii="Times New Roman" w:hAnsi="Times New Roman" w:eastAsia="方正仿宋_GBK" w:cs="Times New Roman"/>
          <w:sz w:val="32"/>
          <w:szCs w:val="32"/>
        </w:rPr>
        <w:t>脱贫</w:t>
      </w:r>
      <w:r>
        <w:rPr>
          <w:rFonts w:ascii="Times New Roman" w:hAnsi="Times New Roman" w:eastAsia="方正仿宋_GBK" w:cs="Times New Roman"/>
          <w:sz w:val="32"/>
          <w:szCs w:val="32"/>
        </w:rPr>
        <w:t>群众收入稳步提高，</w:t>
      </w:r>
      <w:r>
        <w:rPr>
          <w:rFonts w:hint="eastAsia" w:ascii="Times New Roman" w:hAnsi="Times New Roman" w:eastAsia="方正仿宋_GBK" w:cs="Times New Roman"/>
          <w:sz w:val="32"/>
          <w:szCs w:val="32"/>
        </w:rPr>
        <w:t>脱贫地区</w:t>
      </w:r>
      <w:r>
        <w:rPr>
          <w:rFonts w:ascii="Times New Roman" w:hAnsi="Times New Roman" w:eastAsia="方正仿宋_GBK" w:cs="Times New Roman"/>
          <w:sz w:val="32"/>
          <w:szCs w:val="32"/>
        </w:rPr>
        <w:t>生产生活条件进一步改善。</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人才技能培训进一步提高</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绩效目标：进一步提高致富带头人整体素质，增强脱贫地区群众致富和就业本领。</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绩效指标：致富带头人培训任务完成率达到95%以上。     </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政务管理水平进一步提高</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绩效目标：确保各项业务工作谋划到位、顺利开展。保障机关、直属事业单位正常高效运转。</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绩效指标：综合业务管理工作、综合事务管理工作均完成率达到95%以上。</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过渡期内进一步提高考核评估水平</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绩效目标：把巩固拓展脱贫攻坚成果纳入市县党政领</w:t>
      </w:r>
      <w:r>
        <w:rPr>
          <w:rFonts w:hint="eastAsia" w:ascii="Times New Roman" w:hAnsi="Times New Roman" w:eastAsia="方正仿宋_GBK" w:cs="Times New Roman"/>
          <w:sz w:val="32"/>
          <w:szCs w:val="32"/>
          <w:lang w:eastAsia="zh-CN"/>
        </w:rPr>
        <w:t>导</w:t>
      </w:r>
      <w:r>
        <w:rPr>
          <w:rFonts w:ascii="Times New Roman" w:hAnsi="Times New Roman" w:eastAsia="方正仿宋_GBK" w:cs="Times New Roman"/>
          <w:sz w:val="32"/>
          <w:szCs w:val="32"/>
        </w:rPr>
        <w:t>班子和领导干部推进乡村振兴战略实绩考核范围，对过渡期内巩固拓展脱贫攻坚成果进行考核评估，确保考核评估结果客观、真实、公正。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绩效指标：考核评估结果真实率100%。</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（三）工作保障措施</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加强组织领导</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将事前评估、目标管理、运行监控、绩效评价、结果应用等各项改革措施，有效融入预算管理的全过程环节，建立健全财政专项扶贫资金预算绩效管理的路径和制度体系。围绕年度总体绩效目标和分类绩效目标，明确责任主体、实施进度要求，确保巩固拓展脱贫攻坚成果同乡村振兴有效衔接。</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狠抓任务落实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照“谁花钱、谁负责，谁牵总、谁主责”的原则，明确业务单位（处室）管理职责。充分调动各项目主管处的积极性和主动性，由业务处负责科学制定分管项目和内容的中期、终期绩效目标和评价指标，动态收集评估数据信息，开展预算绩效中期评估、终期评价，落实整改措施等。按照领导小组指示，开展分管项目及内容的管理具体工作，实现定项目就要抓绩效、分资金就要管绩效，确保财务与业务工作紧密衔接。</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强化预算执行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强化财政预算执行的刚性约束，及时启动项目和支付资金，加快履行政府采购程序，确保按照时间节点完成支出任务。进一步加快转移支付资金下达进度，督促有关单位加快执行进度。规范财政专项扶贫资金使用和管理，强化内部控制制度建设，更好地发挥财政专项扶贫资金的使用效益。</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健全评价机制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成立专门的评价工作小组，制定科学评价办法，对总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凝聚全社会扶贫合力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进一步提升中央单位定点扶贫、省内对口帮扶水平，鼓励各类企业、社会组织、志愿者参与扶贫。加强扶贫扶志工作，改进帮扶方式，激发脱贫地区群众内生动力。</w:t>
      </w:r>
    </w:p>
    <w:p>
      <w:pPr>
        <w:ind w:firstLine="640" w:firstLineChars="200"/>
        <w:rPr>
          <w:rFonts w:ascii="Times New Roman" w:hAnsi="Times New Roman" w:eastAsia="方正仿宋_GBK" w:cs="Times New Roman"/>
          <w:sz w:val="32"/>
          <w:szCs w:val="32"/>
        </w:rPr>
      </w:pPr>
    </w:p>
    <w:p>
      <w:pPr>
        <w:rPr>
          <w:rFonts w:ascii="Times New Roman" w:hAnsi="Times New Roman" w:eastAsia="方正仿宋_GBK" w:cs="Times New Roman"/>
          <w:b/>
          <w:sz w:val="32"/>
          <w:szCs w:val="32"/>
        </w:rPr>
      </w:pPr>
    </w:p>
    <w:p>
      <w:pPr>
        <w:ind w:firstLine="642"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第二部分  专项资金绩效目标：</w:t>
      </w:r>
      <w:bookmarkStart w:id="1" w:name="_Toc60405629"/>
    </w:p>
    <w:p>
      <w:pPr>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1、财政扶贫专项资金绩效目标表</w:t>
      </w:r>
      <w:bookmarkEnd w:id="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ascii="方正书宋_GBK" w:eastAsia="方正书宋_GBK"/>
              </w:rPr>
            </w:pPr>
            <w:r>
              <w:rPr>
                <w:rFonts w:hint="eastAsia" w:ascii="方正书宋_GBK" w:eastAsia="方正书宋_GBK"/>
              </w:rPr>
              <w:t>1.巩固脱贫攻坚成果，确保不出现规模性返贫。</w:t>
            </w:r>
          </w:p>
          <w:p>
            <w:pPr>
              <w:spacing w:line="300" w:lineRule="exact"/>
              <w:jc w:val="left"/>
              <w:rPr>
                <w:rFonts w:ascii="方正书宋_GBK" w:eastAsia="方正书宋_GBK"/>
              </w:rPr>
            </w:pPr>
            <w:r>
              <w:rPr>
                <w:rFonts w:hint="eastAsia" w:ascii="方正书宋_GBK" w:eastAsia="方正书宋_GBK"/>
              </w:rPr>
              <w:t>2.进一步提升脱贫地区生产生活水平。</w:t>
            </w:r>
          </w:p>
          <w:p>
            <w:pPr>
              <w:spacing w:line="300" w:lineRule="exact"/>
              <w:jc w:val="left"/>
              <w:rPr>
                <w:rFonts w:ascii="方正书宋_GBK" w:eastAsia="方正书宋_GBK"/>
              </w:rPr>
            </w:pPr>
            <w:r>
              <w:rPr>
                <w:rFonts w:hint="eastAsia" w:ascii="方正书宋_GBK" w:eastAsia="方正书宋_GBK"/>
              </w:rPr>
              <w:t>3.驻村工作队综合经费保障省派驻村干部驻村期间正常开展帮扶工作。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脱贫人口巩固人数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巩固已脱贫人口的脱贫质量。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≤228万人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80"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工作队个数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经费用于保障622个驻村工作队。</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622个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省委办公厅 省政府办公厅《河北省扶贫脱贫驻村干部管理办法》（冀办字〔2018〕50号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边缘易致贫人口巩固人数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巩固边缘易致贫人口的生活质量。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≥5.2万人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返贫率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不出现规模性返贫。</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不出现规模性返贫</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按要求时间拨付资金。</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下拨资金数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到县专项资金不超预算。</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708572万元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脱贫地区生产生活条件改善程度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脱贫地区生产生活条件改善程度。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脱贫群众满意度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脱贫群众满意度。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调查问卷或日常走访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1"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驻村工作队满意度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工作队对经费保障满意度。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r>
              <w:rPr>
                <w:rFonts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调查问卷或社会反馈</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rPr>
          <w:rFonts w:ascii="Times New Roman" w:hAnsi="Times New Roman" w:eastAsia="方正仿宋_GBK" w:cs="Times New Roman"/>
          <w:sz w:val="32"/>
          <w:szCs w:val="32"/>
        </w:rPr>
      </w:pPr>
    </w:p>
    <w:p>
      <w:pPr>
        <w:spacing w:line="14" w:lineRule="exact"/>
        <w:ind w:firstLine="420" w:firstLineChars="200"/>
        <w:jc w:val="center"/>
        <w:rPr>
          <w:rFonts w:ascii="Times New Roman" w:hAnsi="宋体"/>
        </w:rPr>
      </w:pPr>
      <w:r>
        <w:rPr>
          <w:rFonts w:ascii="方正书宋_GBK" w:eastAsia="方正书宋_GBK"/>
        </w:rPr>
        <w:t xml:space="preserve"> </w:t>
      </w:r>
    </w:p>
    <w:p>
      <w:pPr>
        <w:tabs>
          <w:tab w:val="left" w:pos="676"/>
        </w:tabs>
        <w:ind w:firstLine="642"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第三部分</w:t>
      </w:r>
      <w:r>
        <w:rPr>
          <w:rFonts w:hint="eastAsia" w:ascii="Times New Roman" w:hAnsi="Times New Roman" w:eastAsia="方正仿宋_GBK" w:cs="Times New Roman"/>
          <w:b/>
          <w:sz w:val="32"/>
          <w:szCs w:val="32"/>
        </w:rPr>
        <w:tab/>
      </w:r>
      <w:r>
        <w:rPr>
          <w:rFonts w:hint="eastAsia" w:ascii="Times New Roman" w:hAnsi="Times New Roman" w:eastAsia="方正仿宋_GBK" w:cs="Times New Roman"/>
          <w:b/>
          <w:sz w:val="32"/>
          <w:szCs w:val="32"/>
        </w:rPr>
        <w:t xml:space="preserve"> 预算项目绩效目标：</w:t>
      </w:r>
    </w:p>
    <w:p>
      <w:pPr>
        <w:ind w:firstLine="640" w:firstLineChars="200"/>
        <w:rPr>
          <w:rFonts w:ascii="Times New Roman" w:hAnsi="Times New Roman" w:eastAsia="方正仿宋_GBK" w:cs="Times New Roman"/>
          <w:sz w:val="32"/>
          <w:szCs w:val="32"/>
        </w:rPr>
      </w:pPr>
      <w:bookmarkStart w:id="2" w:name="_Toc60405634"/>
      <w:r>
        <w:rPr>
          <w:rFonts w:hint="eastAsia" w:ascii="Times New Roman" w:hAnsi="Times New Roman" w:eastAsia="方正仿宋_GBK" w:cs="Times New Roman"/>
          <w:sz w:val="32"/>
          <w:szCs w:val="32"/>
        </w:rPr>
        <w:t>1、第三方评估审计及举办专题展等工作经费绩效目标表</w:t>
      </w:r>
      <w:bookmarkEnd w:id="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ascii="方正书宋_GBK" w:eastAsia="方正书宋_GBK"/>
              </w:rPr>
            </w:pPr>
            <w:r>
              <w:rPr>
                <w:rFonts w:hint="eastAsia" w:ascii="方正书宋_GBK" w:eastAsia="方正书宋_GBK"/>
              </w:rPr>
              <w:t>根据省考核工作方案开展年度考核评估工作，全面客观评价工作成效，综合评定考核结果。对资金绩效开展第三方评估。对产业、就业、小额信贷、彩票公益金等项目开展第三方评估审计。对河北省扶贫开发信息平台进行升级维护。举办全省脱贫攻坚专题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报告数量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形成第三方评估报告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≥50个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《河北省脱贫攻坚工作考核问责办法》（冀扶贫脱贫〔2018〕4号）《河北省扶贫开发和脱贫工作领导小组工作规则》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报告合格率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报告符合质量要求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相关协议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第三方评估工作按时完成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相关协议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考核评估费用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对1.66万户、36个领导小组成员单位和12个垂直管理部门成效考核第三方评估费用，总控费用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≤692万元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习近平总书记在决战决胜脱贫攻坚座谈会上的讲话（2020年3月6日）要求；《河北省脱贫攻坚工作考核问责办法》（冀扶贫脱贫〔2018〕4号）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资金绩效费用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对相关县2021年资金绩效进行第三方评估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≤49.5万元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国务院办公厅《关于转发财政部、国务院扶贫办、国家发展改革委扶贫项目资金绩效管理办法的通知》（国办发〔2018〕35号）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信息平台升级维护和服务费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对河北省扶贫开发信息平台进行升级维护</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≤55.5万元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省委省政府《关于坚决打赢脱贫攻坚战的决定》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产业、就业、小额信贷、彩票公益</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产业扶贫第三方审计经费预算31万元，就业扶贫第三方审计经费预算31万元，扶贫小额信贷第三方审计经费预算31万元，中央专项彩票公益金支持贫困革命老区实施扶贫项目第三方审计经费预算20万元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≤113万元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习近平总书记在决战决胜脱贫攻坚座谈会上的讲话（2020年3月6日）要求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全省脱贫攻坚专题展费用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用于撰写展览脚本、文字材料梳理、图片精修排版、政策图解制作、视频剪辑制作、专题设计及展板制作等费用。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≤90万元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中央宣传部《2020年脱贫攻坚宣传报道方案》（中宣办发[2020]2号）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提升工作质量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通过第三方评估工作，客观评价工作成效，指导地方问题整改，提升工作质量。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《河北省脱贫攻坚工作考核问责办法》（冀扶贫脱贫〔2018〕4号）《河北省扶贫开发和脱贫工作领导小组工作规则》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使用情况满意度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评估报告使用部门满意度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《河北省脱贫攻坚工作考核问责办法》（冀扶贫脱贫〔2018〕4号）《河北省扶贫开发和脱贫工作领导小组工作规则》</w:t>
            </w:r>
          </w:p>
        </w:tc>
      </w:tr>
    </w:tbl>
    <w:p>
      <w:pPr>
        <w:ind w:firstLine="1124" w:firstLineChars="400"/>
        <w:jc w:val="left"/>
        <w:outlineLvl w:val="3"/>
        <w:rPr>
          <w:rFonts w:ascii="方正仿宋_GBK" w:eastAsia="方正仿宋_GBK"/>
          <w:b/>
          <w:sz w:val="28"/>
        </w:rPr>
      </w:pPr>
      <w:bookmarkStart w:id="3" w:name="_Toc60405631"/>
    </w:p>
    <w:p>
      <w:pPr>
        <w:jc w:val="left"/>
        <w:outlineLvl w:val="3"/>
        <w:rPr>
          <w:rFonts w:ascii="方正仿宋_GBK" w:eastAsia="方正仿宋_GBK"/>
          <w:b/>
          <w:sz w:val="28"/>
        </w:rPr>
      </w:pP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2、中国扶贫杂志订阅年费绩效目标表</w:t>
      </w:r>
      <w:bookmarkEnd w:id="3"/>
      <w:bookmarkStart w:id="6" w:name="_GoBack"/>
      <w:bookmarkEnd w:id="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ascii="方正书宋_GBK" w:eastAsia="方正书宋_GBK"/>
              </w:rPr>
            </w:pPr>
            <w:r>
              <w:rPr>
                <w:rFonts w:hint="eastAsia" w:ascii="方正书宋_GBK" w:eastAsia="方正书宋_GBK"/>
              </w:rPr>
              <w:t>1.为省市县有关领导和相关部门订阅杂志，提高政策宣传力度。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订阅杂志数量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订阅中国扶贫杂志数量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3750份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杂志覆盖有关领导、部门和工作队</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按时邮寄杂志</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杂志成本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每份杂志年成本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288元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扶贫政策宣传力度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提高扶贫政策宣传力度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杂志使用满意度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杂志使用满意度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调查问卷或社会反馈</w:t>
            </w:r>
          </w:p>
        </w:tc>
      </w:tr>
    </w:tbl>
    <w:p>
      <w:pPr>
        <w:rPr>
          <w:rFonts w:ascii="Times New Roman" w:hAnsi="Times New Roman" w:eastAsia="方正仿宋_GBK" w:cs="Times New Roman"/>
          <w:sz w:val="32"/>
          <w:szCs w:val="32"/>
        </w:rPr>
      </w:pPr>
    </w:p>
    <w:bookmarkEnd w:id="0"/>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 xml:space="preserve">六、政府采购预算情况  </w:t>
      </w:r>
    </w:p>
    <w:p>
      <w:pPr>
        <w:ind w:firstLine="640" w:firstLineChars="200"/>
        <w:outlineLvl w:val="0"/>
        <w:rPr>
          <w:rFonts w:ascii="方正小标宋_GBK" w:eastAsia="方正小标宋_GBK"/>
          <w:sz w:val="32"/>
        </w:rPr>
      </w:pPr>
      <w:bookmarkStart w:id="4" w:name="_Toc471398468"/>
      <w:r>
        <w:rPr>
          <w:rFonts w:ascii="Times New Roman" w:hAnsi="Times New Roman" w:eastAsia="方正仿宋_GBK" w:cs="Times New Roman"/>
          <w:sz w:val="32"/>
          <w:szCs w:val="24"/>
        </w:rPr>
        <w:t>2021年，我</w:t>
      </w:r>
      <w:r>
        <w:rPr>
          <w:rFonts w:hint="eastAsia" w:ascii="Times New Roman" w:hAnsi="Times New Roman" w:eastAsia="方正仿宋_GBK" w:cs="Times New Roman"/>
          <w:sz w:val="32"/>
          <w:szCs w:val="24"/>
        </w:rPr>
        <w:t>办</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1433.25</w:t>
      </w:r>
      <w:r>
        <w:rPr>
          <w:rFonts w:ascii="Times New Roman" w:hAnsi="Times New Roman" w:eastAsia="方正仿宋_GBK" w:cs="Times New Roman"/>
          <w:sz w:val="32"/>
          <w:szCs w:val="24"/>
        </w:rPr>
        <w:t>万元。具体内容见下表。</w:t>
      </w:r>
      <w:bookmarkEnd w:id="4"/>
      <w:bookmarkStart w:id="5" w:name="_Toc64386748"/>
    </w:p>
    <w:p>
      <w:pPr>
        <w:ind w:firstLine="640" w:firstLineChars="200"/>
        <w:jc w:val="center"/>
        <w:outlineLvl w:val="1"/>
        <w:rPr>
          <w:rFonts w:ascii="Times New Roman" w:hAnsi="宋体"/>
          <w:sz w:val="32"/>
        </w:rPr>
      </w:pPr>
      <w:r>
        <w:rPr>
          <w:rFonts w:hint="eastAsia" w:ascii="方正小标宋_GBK" w:eastAsia="方正小标宋_GBK"/>
          <w:sz w:val="32"/>
        </w:rPr>
        <w:t>部门政府采购预算</w:t>
      </w:r>
      <w:bookmarkEnd w:id="5"/>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475  河北省扶贫开发办公室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1433.25</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1433.25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河北省扶贫开发办公室本级小计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w:t>
            </w:r>
            <w:r>
              <w:rPr>
                <w:rFonts w:hint="eastAsia" w:ascii="方正书宋_GBK" w:eastAsia="方正书宋_GBK"/>
                <w:b/>
              </w:rPr>
              <w:t>06</w:t>
            </w:r>
            <w:r>
              <w:rPr>
                <w:rFonts w:ascii="方正书宋_GBK" w:eastAsia="方正书宋_GBK"/>
                <w:b/>
              </w:rPr>
              <w:t>.30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w:t>
            </w:r>
            <w:r>
              <w:rPr>
                <w:rFonts w:hint="eastAsia" w:ascii="方正书宋_GBK" w:eastAsia="方正书宋_GBK"/>
                <w:b/>
              </w:rPr>
              <w:t>06</w:t>
            </w:r>
            <w:r>
              <w:rPr>
                <w:rFonts w:ascii="方正书宋_GBK" w:eastAsia="方正书宋_GBK"/>
                <w:b/>
              </w:rPr>
              <w:t>.30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434.83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扶贫项目监管工作经费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扶贫项目监管工作经费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扶贫项目监管工作经费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扶贫项目监管工作经费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扶贫综合事务管理工作经费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其他信息技术咨询服务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C020899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扶贫综合事务管理工作经费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巩固拓展脱贫攻坚成果考核经费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京津冀扶贫协作办公室集中办公经费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双提升办公室集中办公经费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双提升办公室集中办公经费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第三方评估审计及举办专题展等工作经费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其他信息技术咨询服务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C020899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中国扶贫杂志订阅年费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其他图书档案装具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河北省扶贫开发协会秘书处小计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2.25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2.25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11.24</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11.24</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河北省扶贫开发信息中心小计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25.00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25.00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扶贫开发项目管理费（信息中心）</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河北省扶贫开发办公室（含所属单位）上年末固定资产金额为617.4756万元（详见下表），本年度各单位（处室）拟购置固定资产总额为2.25万元，主要为计算机设备、办公家具等，已列入政府采购预算，详见政府采购预算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556" w:hRule="atLeast"/>
        </w:trPr>
        <w:tc>
          <w:tcPr>
            <w:tcW w:w="13482" w:type="dxa"/>
            <w:gridSpan w:val="3"/>
            <w:tcBorders>
              <w:top w:val="nil"/>
              <w:left w:val="nil"/>
              <w:bottom w:val="nil"/>
              <w:right w:val="nil"/>
            </w:tcBorders>
            <w:shd w:val="clear" w:color="auto" w:fill="auto"/>
            <w:vAlign w:val="center"/>
          </w:tcPr>
          <w:p>
            <w:pPr>
              <w:widowControl/>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编制部门：河北省扶贫开发办公室</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hint="eastAsia" w:ascii="Times New Roman" w:hAnsi="Times New Roman" w:eastAsia="宋体" w:cs="Times New Roman"/>
                <w:kern w:val="0"/>
                <w:sz w:val="22"/>
              </w:rPr>
              <w:t>617.4756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144.99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472.4856</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1566F"/>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85788"/>
    <w:rsid w:val="0049455E"/>
    <w:rsid w:val="00496109"/>
    <w:rsid w:val="004A2E55"/>
    <w:rsid w:val="004B0C3A"/>
    <w:rsid w:val="004D5788"/>
    <w:rsid w:val="004E3066"/>
    <w:rsid w:val="004E74CD"/>
    <w:rsid w:val="005069C1"/>
    <w:rsid w:val="00516E04"/>
    <w:rsid w:val="00565588"/>
    <w:rsid w:val="00572067"/>
    <w:rsid w:val="00573562"/>
    <w:rsid w:val="00577816"/>
    <w:rsid w:val="00590ECE"/>
    <w:rsid w:val="005915C2"/>
    <w:rsid w:val="00592ADD"/>
    <w:rsid w:val="005A2F44"/>
    <w:rsid w:val="00602878"/>
    <w:rsid w:val="00614A29"/>
    <w:rsid w:val="0061668A"/>
    <w:rsid w:val="00643AA7"/>
    <w:rsid w:val="00653C6B"/>
    <w:rsid w:val="00663446"/>
    <w:rsid w:val="0066346C"/>
    <w:rsid w:val="00673D76"/>
    <w:rsid w:val="00674CD7"/>
    <w:rsid w:val="006854F0"/>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745B2"/>
    <w:rsid w:val="00881692"/>
    <w:rsid w:val="00883D1A"/>
    <w:rsid w:val="008A25C2"/>
    <w:rsid w:val="008A6576"/>
    <w:rsid w:val="008B3CC5"/>
    <w:rsid w:val="008B52CD"/>
    <w:rsid w:val="008E4261"/>
    <w:rsid w:val="008F4662"/>
    <w:rsid w:val="00905D08"/>
    <w:rsid w:val="00912EF2"/>
    <w:rsid w:val="00925753"/>
    <w:rsid w:val="009425F4"/>
    <w:rsid w:val="00966C5C"/>
    <w:rsid w:val="00973104"/>
    <w:rsid w:val="00995BF0"/>
    <w:rsid w:val="009A16D5"/>
    <w:rsid w:val="009A353D"/>
    <w:rsid w:val="009B0B77"/>
    <w:rsid w:val="009B511E"/>
    <w:rsid w:val="009C7241"/>
    <w:rsid w:val="00A02FED"/>
    <w:rsid w:val="00A44E3D"/>
    <w:rsid w:val="00A524B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93F09"/>
    <w:rsid w:val="00CA7176"/>
    <w:rsid w:val="00CB3D48"/>
    <w:rsid w:val="00CB4665"/>
    <w:rsid w:val="00CC75B0"/>
    <w:rsid w:val="00CD2773"/>
    <w:rsid w:val="00CD31CC"/>
    <w:rsid w:val="00CE143B"/>
    <w:rsid w:val="00D0024A"/>
    <w:rsid w:val="00D1724D"/>
    <w:rsid w:val="00D27003"/>
    <w:rsid w:val="00DB4A9B"/>
    <w:rsid w:val="00DC09A8"/>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D351A"/>
    <w:rsid w:val="00FE75D7"/>
    <w:rsid w:val="0A861354"/>
    <w:rsid w:val="168372DB"/>
    <w:rsid w:val="1CD85FEA"/>
    <w:rsid w:val="1DEF2A6B"/>
    <w:rsid w:val="23CD6BA7"/>
    <w:rsid w:val="23FE0478"/>
    <w:rsid w:val="2F565731"/>
    <w:rsid w:val="312B2A9E"/>
    <w:rsid w:val="3BB2525E"/>
    <w:rsid w:val="3BEB0B1D"/>
    <w:rsid w:val="3C7F3244"/>
    <w:rsid w:val="3D595A44"/>
    <w:rsid w:val="4B3C12D9"/>
    <w:rsid w:val="556E3323"/>
    <w:rsid w:val="56C915E0"/>
    <w:rsid w:val="5D1404CE"/>
    <w:rsid w:val="5F89D21E"/>
    <w:rsid w:val="66386846"/>
    <w:rsid w:val="68BD3726"/>
    <w:rsid w:val="69AA274E"/>
    <w:rsid w:val="75585B8B"/>
    <w:rsid w:val="77F4502A"/>
    <w:rsid w:val="7CEE1CAB"/>
    <w:rsid w:val="7DFE0D4F"/>
    <w:rsid w:val="9D63A027"/>
    <w:rsid w:val="AD9B31E2"/>
    <w:rsid w:val="BFFEA644"/>
    <w:rsid w:val="DBC92082"/>
    <w:rsid w:val="E69B3C6F"/>
    <w:rsid w:val="EFFFFB81"/>
    <w:rsid w:val="FD738484"/>
    <w:rsid w:val="FF5FDA1F"/>
    <w:rsid w:val="FFEF0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semiHidden/>
    <w:unhideWhenUsed/>
    <w:qFormat/>
    <w:uiPriority w:val="99"/>
  </w:style>
  <w:style w:type="character" w:styleId="11">
    <w:name w:val="Hyperlink"/>
    <w:unhideWhenUsed/>
    <w:qFormat/>
    <w:uiPriority w:val="99"/>
    <w:rPr>
      <w:color w:val="0000FF"/>
      <w:u w:val="single"/>
    </w:rPr>
  </w:style>
  <w:style w:type="character" w:styleId="12">
    <w:name w:val="footnote reference"/>
    <w:semiHidden/>
    <w:unhideWhenUsed/>
    <w:qFormat/>
    <w:uiPriority w:val="99"/>
    <w:rPr>
      <w:vertAlign w:val="superscript"/>
    </w:rPr>
  </w:style>
  <w:style w:type="character" w:customStyle="1" w:styleId="13">
    <w:name w:val="页眉 Char"/>
    <w:basedOn w:val="9"/>
    <w:link w:val="4"/>
    <w:qFormat/>
    <w:uiPriority w:val="99"/>
    <w:rPr>
      <w:rFonts w:ascii="Times New Roman" w:hAnsi="Times New Roman" w:eastAsia="宋体" w:cs="Times New Roman"/>
      <w:sz w:val="18"/>
      <w:szCs w:val="18"/>
    </w:rPr>
  </w:style>
  <w:style w:type="character" w:customStyle="1" w:styleId="14">
    <w:name w:val="页脚 Char"/>
    <w:basedOn w:val="9"/>
    <w:link w:val="3"/>
    <w:qFormat/>
    <w:uiPriority w:val="99"/>
    <w:rPr>
      <w:rFonts w:ascii="Times New Roman" w:hAnsi="Times New Roman" w:eastAsia="宋体" w:cs="Times New Roman"/>
      <w:sz w:val="18"/>
      <w:szCs w:val="18"/>
    </w:rPr>
  </w:style>
  <w:style w:type="character" w:customStyle="1" w:styleId="15">
    <w:name w:val="批注框文本 Char"/>
    <w:basedOn w:val="9"/>
    <w:link w:val="2"/>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1122</Words>
  <Characters>6398</Characters>
  <Lines>53</Lines>
  <Paragraphs>15</Paragraphs>
  <TotalTime>53</TotalTime>
  <ScaleCrop>false</ScaleCrop>
  <LinksUpToDate>false</LinksUpToDate>
  <CharactersWithSpaces>7505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2019-01-15T08:52:00Z</dcterms:created>
  <dc:creator>guest</dc:creator>
  <cp:lastModifiedBy>uos</cp:lastModifiedBy>
  <cp:lastPrinted>2021-02-20T14:07:00Z</cp:lastPrinted>
  <dcterms:modified xsi:type="dcterms:W3CDTF">2024-01-19T16:58:47Z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